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sz w:val="24"/>
          <w:lang w:eastAsia="zh-CN"/>
        </w:rPr>
      </w:pPr>
      <w:r>
        <w:rPr>
          <w:rFonts w:hint="eastAsia" w:ascii="黑体" w:hAnsi="黑体" w:eastAsia="黑体"/>
          <w:sz w:val="24"/>
          <w:lang w:eastAsia="zh-CN"/>
        </w:rPr>
        <w:t>附件：</w:t>
      </w:r>
    </w:p>
    <w:p>
      <w:pPr>
        <w:spacing w:line="360" w:lineRule="auto"/>
        <w:jc w:val="center"/>
        <w:rPr>
          <w:rFonts w:ascii="黑体" w:hAnsi="黑体" w:eastAsia="黑体"/>
          <w:sz w:val="32"/>
          <w:szCs w:val="32"/>
        </w:rPr>
      </w:pPr>
      <w:r>
        <w:rPr>
          <w:rFonts w:hint="eastAsia" w:ascii="黑体" w:hAnsi="黑体" w:eastAsia="黑体"/>
          <w:sz w:val="32"/>
          <w:szCs w:val="32"/>
        </w:rPr>
        <w:t>商业保险类型</w:t>
      </w:r>
    </w:p>
    <w:p>
      <w:pPr>
        <w:pStyle w:val="5"/>
        <w:numPr>
          <w:ilvl w:val="0"/>
          <w:numId w:val="1"/>
        </w:numPr>
        <w:spacing w:line="360" w:lineRule="auto"/>
        <w:ind w:firstLineChars="0"/>
        <w:rPr>
          <w:rFonts w:asciiTheme="minorEastAsia" w:hAnsiTheme="minorEastAsia"/>
          <w:b/>
          <w:sz w:val="24"/>
          <w:highlight w:val="yellow"/>
        </w:rPr>
      </w:pPr>
      <w:r>
        <w:rPr>
          <w:rFonts w:hint="eastAsia" w:asciiTheme="minorEastAsia" w:hAnsiTheme="minorEastAsia"/>
          <w:b/>
          <w:sz w:val="24"/>
          <w:highlight w:val="yellow"/>
        </w:rPr>
        <w:t>团体重大疾病保险：</w:t>
      </w:r>
    </w:p>
    <w:p>
      <w:pPr>
        <w:tabs>
          <w:tab w:val="left" w:pos="816"/>
        </w:tabs>
        <w:rPr>
          <w:rFonts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w:t>
      </w:r>
      <w:r>
        <w:rPr>
          <w:rFonts w:hint="eastAsia" w:asciiTheme="minorEastAsia" w:hAnsiTheme="minorEastAsia" w:cstheme="minorEastAsia"/>
          <w:sz w:val="24"/>
        </w:rPr>
        <w:t>投保人群：员工本人、配偶及子女。</w:t>
      </w:r>
    </w:p>
    <w:p>
      <w:pPr>
        <w:tabs>
          <w:tab w:val="left" w:pos="816"/>
        </w:tabs>
        <w:rPr>
          <w:rFonts w:asciiTheme="minorEastAsia" w:hAnsiTheme="minorEastAsia" w:cstheme="minorEastAsia"/>
          <w:sz w:val="24"/>
        </w:rPr>
      </w:pPr>
      <w:r>
        <w:rPr>
          <w:rFonts w:asciiTheme="minorEastAsia" w:hAnsiTheme="minorEastAsia" w:cstheme="minorEastAsia"/>
          <w:sz w:val="24"/>
        </w:rPr>
        <w:t>2.</w:t>
      </w:r>
      <w:r>
        <w:rPr>
          <w:rFonts w:hint="eastAsia" w:asciiTheme="minorEastAsia" w:hAnsiTheme="minorEastAsia" w:cstheme="minorEastAsia"/>
          <w:sz w:val="24"/>
        </w:rPr>
        <w:t>投保年龄：1-70周岁。</w:t>
      </w:r>
    </w:p>
    <w:p>
      <w:pPr>
        <w:tabs>
          <w:tab w:val="left" w:pos="816"/>
        </w:tabs>
        <w:rPr>
          <w:rFonts w:asciiTheme="minorEastAsia" w:hAnsiTheme="minorEastAsia" w:cstheme="minorEastAsia"/>
          <w:sz w:val="24"/>
        </w:rPr>
      </w:pPr>
      <w:r>
        <w:rPr>
          <w:rFonts w:hint="eastAsia" w:asciiTheme="minorEastAsia" w:hAnsiTheme="minorEastAsia" w:cstheme="minorEastAsia"/>
          <w:sz w:val="24"/>
        </w:rPr>
        <w:t>3.新保等待期90天，续保无等待期。</w:t>
      </w:r>
    </w:p>
    <w:p>
      <w:pPr>
        <w:tabs>
          <w:tab w:val="left" w:pos="816"/>
        </w:tabs>
        <w:rPr>
          <w:rFonts w:asciiTheme="minorEastAsia" w:hAnsiTheme="minorEastAsia" w:cstheme="minorEastAsia"/>
          <w:sz w:val="24"/>
        </w:rPr>
      </w:pPr>
      <w:r>
        <w:rPr>
          <w:rFonts w:asciiTheme="minorEastAsia" w:hAnsiTheme="minorEastAsia" w:cstheme="minorEastAsia"/>
          <w:sz w:val="24"/>
        </w:rPr>
        <w:t>4.</w:t>
      </w:r>
      <w:r>
        <w:rPr>
          <w:rFonts w:hint="eastAsia" w:asciiTheme="minorEastAsia" w:hAnsiTheme="minorEastAsia" w:cstheme="minorEastAsia"/>
          <w:sz w:val="24"/>
        </w:rPr>
        <w:t>高保额：</w:t>
      </w:r>
    </w:p>
    <w:p>
      <w:pPr>
        <w:rPr>
          <w:rFonts w:asciiTheme="minorEastAsia" w:hAnsiTheme="minorEastAsia" w:cstheme="minorEastAsia"/>
          <w:sz w:val="24"/>
        </w:rPr>
      </w:pPr>
      <w:r>
        <w:rPr>
          <w:rFonts w:hint="eastAsia" w:asciiTheme="minorEastAsia" w:hAnsiTheme="minorEastAsia" w:cstheme="minorEastAsia"/>
          <w:sz w:val="24"/>
        </w:rPr>
        <w:t>方案一        保险期限内确诊重疾即赔30万，重疾身故10万，轻症6万</w:t>
      </w:r>
    </w:p>
    <w:p>
      <w:pPr>
        <w:rPr>
          <w:rFonts w:asciiTheme="minorEastAsia" w:hAnsiTheme="minorEastAsia" w:cstheme="minorEastAsia"/>
          <w:sz w:val="24"/>
        </w:rPr>
      </w:pPr>
      <w:r>
        <w:rPr>
          <w:rFonts w:hint="eastAsia" w:asciiTheme="minorEastAsia" w:hAnsiTheme="minorEastAsia" w:cstheme="minorEastAsia"/>
          <w:sz w:val="24"/>
        </w:rPr>
        <w:t>方案二        保险期限内确诊重疾即赔40万，重疾身故20万，轻症6万</w:t>
      </w:r>
    </w:p>
    <w:p>
      <w:pPr>
        <w:rPr>
          <w:rFonts w:asciiTheme="minorEastAsia" w:hAnsiTheme="minorEastAsia" w:cstheme="minorEastAsia"/>
          <w:b/>
          <w:bCs/>
          <w:sz w:val="24"/>
        </w:rPr>
      </w:pPr>
      <w:r>
        <w:rPr>
          <w:rFonts w:hint="eastAsia" w:asciiTheme="minorEastAsia" w:hAnsiTheme="minorEastAsia" w:cstheme="minorEastAsia"/>
          <w:sz w:val="24"/>
        </w:rPr>
        <w:t>方案三（子女）保险期限内确诊重疾即赔25万，重疾身故10万，轻症5万</w:t>
      </w:r>
      <w:r>
        <w:rPr>
          <w:rFonts w:hint="eastAsia" w:asciiTheme="minorEastAsia" w:hAnsiTheme="minorEastAsia" w:cstheme="minorEastAsia"/>
          <w:sz w:val="24"/>
        </w:rPr>
        <mc:AlternateContent>
          <mc:Choice Requires="wps">
            <w:drawing>
              <wp:anchor distT="0" distB="0" distL="114300" distR="114300" simplePos="0" relativeHeight="251659264" behindDoc="0" locked="0" layoutInCell="1" allowOverlap="1">
                <wp:simplePos x="0" y="0"/>
                <wp:positionH relativeFrom="column">
                  <wp:posOffset>2527300</wp:posOffset>
                </wp:positionH>
                <wp:positionV relativeFrom="paragraph">
                  <wp:posOffset>-5694680</wp:posOffset>
                </wp:positionV>
                <wp:extent cx="3792855" cy="368300"/>
                <wp:effectExtent l="0" t="0" r="0" b="0"/>
                <wp:wrapNone/>
                <wp:docPr id="520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792538" cy="368300"/>
                        </a:xfrm>
                        <a:prstGeom prst="rect">
                          <a:avLst/>
                        </a:prstGeom>
                        <a:noFill/>
                        <a:ln>
                          <a:noFill/>
                        </a:ln>
                      </wps:spPr>
                      <wps:txbx>
                        <w:txbxContent>
                          <w:p>
                            <w:pPr>
                              <w:pStyle w:val="2"/>
                              <w:spacing w:beforeAutospacing="0" w:afterAutospacing="0"/>
                              <w:ind w:firstLine="422"/>
                              <w:textAlignment w:val="baseline"/>
                            </w:pPr>
                            <w:r>
                              <w:rPr>
                                <w:rFonts w:ascii="Arial" w:hAnsi="Arial" w:cstheme="minorBidi"/>
                                <w:b/>
                                <w:bCs/>
                                <w:color w:val="FFFFFF" w:themeColor="background1"/>
                                <w:kern w:val="24"/>
                                <w14:textFill>
                                  <w14:solidFill>
                                    <w14:schemeClr w14:val="bg1"/>
                                  </w14:solidFill>
                                </w14:textFill>
                              </w:rPr>
                              <w:t>2009</w:t>
                            </w:r>
                            <w:r>
                              <w:rPr>
                                <w:rFonts w:hint="eastAsia" w:ascii="Arial" w:cstheme="minorBidi"/>
                                <w:b/>
                                <w:bCs/>
                                <w:color w:val="FFFFFF" w:themeColor="background1"/>
                                <w:kern w:val="24"/>
                                <w14:textFill>
                                  <w14:solidFill>
                                    <w14:schemeClr w14:val="bg1"/>
                                  </w14:solidFill>
                                </w14:textFill>
                              </w:rPr>
                              <w:t>版重大疾病清单</w:t>
                            </w:r>
                          </w:p>
                        </w:txbxContent>
                      </wps:txbx>
                      <wps:bodyPr>
                        <a:spAutoFit/>
                      </wps:bodyPr>
                    </wps:wsp>
                  </a:graphicData>
                </a:graphic>
              </wp:anchor>
            </w:drawing>
          </mc:Choice>
          <mc:Fallback>
            <w:pict>
              <v:shape id="文本框 3" o:spid="_x0000_s1026" o:spt="202" type="#_x0000_t202" style="position:absolute;left:0pt;margin-left:199pt;margin-top:-448.4pt;height:29pt;width:298.65pt;z-index:251659264;mso-width-relative:page;mso-height-relative:page;" filled="f" stroked="f" coordsize="21600,21600" o:gfxdata="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X/FodoAAAANAQAADwAAAAAAAAABACAAAAAiAAAAZHJzL2Rvd25yZXYu&#10;eG1sUEsBAhQAFAAAAAgAh07iQJofTvzAAQAATwMAAA4AAAAAAAAAAQAgAAAAKQEAAGRycy9lMm9E&#10;b2MueG1sUEsFBgAAAAAGAAYAWQEAAFsFAAAAAA==&#10;">
                <v:fill on="f" focussize="0,0"/>
                <v:stroke on="f"/>
                <v:imagedata o:title=""/>
                <o:lock v:ext="edit" aspectratio="f"/>
                <v:textbox style="mso-fit-shape-to-text:t;">
                  <w:txbxContent>
                    <w:p>
                      <w:pPr>
                        <w:pStyle w:val="2"/>
                        <w:spacing w:beforeAutospacing="0" w:afterAutospacing="0"/>
                        <w:ind w:firstLine="422"/>
                        <w:textAlignment w:val="baseline"/>
                      </w:pPr>
                      <w:r>
                        <w:rPr>
                          <w:rFonts w:ascii="Arial" w:hAnsi="Arial" w:cstheme="minorBidi"/>
                          <w:b/>
                          <w:bCs/>
                          <w:color w:val="FFFFFF" w:themeColor="background1"/>
                          <w:kern w:val="24"/>
                          <w14:textFill>
                            <w14:solidFill>
                              <w14:schemeClr w14:val="bg1"/>
                            </w14:solidFill>
                          </w14:textFill>
                        </w:rPr>
                        <w:t>2009</w:t>
                      </w:r>
                      <w:r>
                        <w:rPr>
                          <w:rFonts w:hint="eastAsia" w:ascii="Arial" w:cstheme="minorBidi"/>
                          <w:b/>
                          <w:bCs/>
                          <w:color w:val="FFFFFF" w:themeColor="background1"/>
                          <w:kern w:val="24"/>
                          <w14:textFill>
                            <w14:solidFill>
                              <w14:schemeClr w14:val="bg1"/>
                            </w14:solidFill>
                          </w14:textFill>
                        </w:rPr>
                        <w:t>版重大疾病清单</w:t>
                      </w:r>
                    </w:p>
                  </w:txbxContent>
                </v:textbox>
              </v:shape>
            </w:pict>
          </mc:Fallback>
        </mc:AlternateContent>
      </w:r>
    </w:p>
    <w:p>
      <w:pPr>
        <w:tabs>
          <w:tab w:val="left" w:pos="816"/>
        </w:tabs>
        <w:rPr>
          <w:rFonts w:asciiTheme="minorEastAsia" w:hAnsiTheme="minorEastAsia" w:cstheme="minorEastAsia"/>
          <w:sz w:val="24"/>
        </w:rPr>
      </w:pPr>
      <w:r>
        <w:rPr>
          <w:rFonts w:hint="eastAsia" w:asciiTheme="minorEastAsia" w:hAnsiTheme="minorEastAsia" w:cstheme="minorEastAsia"/>
          <w:b/>
          <w:bCs/>
          <w:sz w:val="24"/>
        </w:rPr>
        <w:t>2020年2月，新版重疾险上线，新增3种轻度疾病（赔付20%）：</w:t>
      </w:r>
    </w:p>
    <w:p>
      <w:pPr>
        <w:numPr>
          <w:ilvl w:val="0"/>
          <w:numId w:val="2"/>
        </w:numPr>
        <w:tabs>
          <w:tab w:val="left" w:pos="816"/>
        </w:tabs>
        <w:rPr>
          <w:rFonts w:asciiTheme="minorEastAsia" w:hAnsiTheme="minorEastAsia" w:cstheme="minorEastAsia"/>
          <w:sz w:val="24"/>
        </w:rPr>
      </w:pPr>
      <w:r>
        <w:rPr>
          <w:rFonts w:hint="eastAsia" w:asciiTheme="minorEastAsia" w:hAnsiTheme="minorEastAsia" w:cstheme="minorEastAsia"/>
          <w:b/>
          <w:bCs/>
          <w:sz w:val="24"/>
        </w:rPr>
        <w:t>恶性肿瘤--轻度</w:t>
      </w:r>
    </w:p>
    <w:p>
      <w:pPr>
        <w:numPr>
          <w:ilvl w:val="0"/>
          <w:numId w:val="2"/>
        </w:numPr>
        <w:tabs>
          <w:tab w:val="left" w:pos="816"/>
        </w:tabs>
        <w:rPr>
          <w:rFonts w:asciiTheme="minorEastAsia" w:hAnsiTheme="minorEastAsia" w:cstheme="minorEastAsia"/>
          <w:sz w:val="24"/>
        </w:rPr>
      </w:pPr>
      <w:r>
        <w:rPr>
          <w:rFonts w:hint="eastAsia" w:asciiTheme="minorEastAsia" w:hAnsiTheme="minorEastAsia" w:cstheme="minorEastAsia"/>
          <w:b/>
          <w:bCs/>
          <w:sz w:val="24"/>
        </w:rPr>
        <w:t>较轻急性心肌梗死</w:t>
      </w:r>
    </w:p>
    <w:p>
      <w:pPr>
        <w:numPr>
          <w:ilvl w:val="0"/>
          <w:numId w:val="2"/>
        </w:numPr>
        <w:tabs>
          <w:tab w:val="left" w:pos="816"/>
        </w:tabs>
        <w:rPr>
          <w:rFonts w:asciiTheme="minorEastAsia" w:hAnsiTheme="minorEastAsia" w:cstheme="minorEastAsia"/>
          <w:sz w:val="24"/>
        </w:rPr>
      </w:pPr>
      <w:r>
        <w:rPr>
          <w:rFonts w:hint="eastAsia" w:asciiTheme="minorEastAsia" w:hAnsiTheme="minorEastAsia" w:cstheme="minorEastAsia"/>
          <w:b/>
          <w:bCs/>
          <w:sz w:val="24"/>
        </w:rPr>
        <w:t>轻度脑中风后遗症</w:t>
      </w:r>
    </w:p>
    <w:p>
      <w:pPr>
        <w:tabs>
          <w:tab w:val="left" w:pos="816"/>
        </w:tabs>
        <w:rPr>
          <w:rFonts w:asciiTheme="minorEastAsia" w:hAnsiTheme="minorEastAsia" w:cstheme="minorEastAsia"/>
          <w:sz w:val="24"/>
        </w:rPr>
      </w:pPr>
      <w:r>
        <w:rPr>
          <w:rFonts w:hint="eastAsia" w:asciiTheme="minorEastAsia" w:hAnsiTheme="minorEastAsia" w:cstheme="minorEastAsia"/>
          <w:sz w:val="24"/>
        </w:rPr>
        <w:t>同时，对重大疾病范围重新进行定义，现重大疾病清单如下：</w:t>
      </w:r>
    </w:p>
    <w:p>
      <w:pPr>
        <w:tabs>
          <w:tab w:val="left" w:pos="816"/>
        </w:tabs>
        <w:rPr>
          <w:rFonts w:asciiTheme="minorEastAsia" w:hAnsiTheme="minorEastAsia" w:cstheme="minorEastAsia"/>
          <w:b/>
          <w:bCs/>
          <w:sz w:val="24"/>
        </w:rPr>
      </w:pPr>
    </w:p>
    <w:p>
      <w:pPr>
        <w:tabs>
          <w:tab w:val="left" w:pos="816"/>
        </w:tabs>
        <w:rPr>
          <w:rFonts w:asciiTheme="minorEastAsia" w:hAnsiTheme="minorEastAsia" w:cstheme="minorEastAsia"/>
          <w:b/>
          <w:bCs/>
          <w:sz w:val="24"/>
        </w:rPr>
      </w:pPr>
      <w:r>
        <w:rPr>
          <w:rFonts w:hint="eastAsia" w:asciiTheme="minorEastAsia" w:hAnsiTheme="minorEastAsia" w:cstheme="minorEastAsia"/>
          <w:b/>
          <w:bCs/>
          <w:sz w:val="24"/>
        </w:rPr>
        <w:t>2020版重大疾病清单</w:t>
      </w:r>
    </w:p>
    <w:tbl>
      <w:tblPr>
        <w:tblStyle w:val="3"/>
        <w:tblW w:w="9800" w:type="dxa"/>
        <w:tblInd w:w="0" w:type="dxa"/>
        <w:tblLayout w:type="autofit"/>
        <w:tblCellMar>
          <w:top w:w="0" w:type="dxa"/>
          <w:left w:w="0" w:type="dxa"/>
          <w:bottom w:w="0" w:type="dxa"/>
          <w:right w:w="0" w:type="dxa"/>
        </w:tblCellMar>
      </w:tblPr>
      <w:tblGrid>
        <w:gridCol w:w="1960"/>
        <w:gridCol w:w="1960"/>
        <w:gridCol w:w="1960"/>
        <w:gridCol w:w="1960"/>
        <w:gridCol w:w="1960"/>
      </w:tblGrid>
      <w:tr>
        <w:tblPrEx>
          <w:tblCellMar>
            <w:top w:w="0" w:type="dxa"/>
            <w:left w:w="0" w:type="dxa"/>
            <w:bottom w:w="0" w:type="dxa"/>
            <w:right w:w="0" w:type="dxa"/>
          </w:tblCellMar>
        </w:tblPrEx>
        <w:trPr>
          <w:trHeight w:val="864"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007BD3"/>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（1）恶性肿瘤——重度</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007BD3"/>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（2）较重急性心肌梗死</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007BD3"/>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（3）严重脑中风后遗症</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（4）重大器官移植术或造血干细胞移植术</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（5）冠状动脉搭桥术</w:t>
            </w:r>
          </w:p>
        </w:tc>
      </w:tr>
      <w:tr>
        <w:tblPrEx>
          <w:tblCellMar>
            <w:top w:w="0" w:type="dxa"/>
            <w:left w:w="0" w:type="dxa"/>
            <w:bottom w:w="0" w:type="dxa"/>
            <w:right w:w="0" w:type="dxa"/>
          </w:tblCellMar>
        </w:tblPrEx>
        <w:trPr>
          <w:trHeight w:val="864"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（6）严重慢性肾衰竭</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（7）多个肢体缺失</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（8）急性重症肝炎或亚急性重症肝炎</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（9）严重非恶性颅内肿瘤</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（10）严重慢性肝衰竭</w:t>
            </w:r>
          </w:p>
        </w:tc>
      </w:tr>
      <w:tr>
        <w:tblPrEx>
          <w:tblCellMar>
            <w:top w:w="0" w:type="dxa"/>
            <w:left w:w="0" w:type="dxa"/>
            <w:bottom w:w="0" w:type="dxa"/>
            <w:right w:w="0" w:type="dxa"/>
          </w:tblCellMar>
        </w:tblPrEx>
        <w:trPr>
          <w:trHeight w:val="869"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（11）严重脑炎后遗症或严重脑膜炎后遗症</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（12）深度昏迷</w:t>
            </w:r>
          </w:p>
          <w:p>
            <w:pPr>
              <w:jc w:val="center"/>
              <w:rPr>
                <w:rFonts w:asciiTheme="minorEastAsia" w:hAnsiTheme="minorEastAsia" w:cstheme="minorEastAsia"/>
                <w:sz w:val="24"/>
              </w:rPr>
            </w:pP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（13）双耳失聪</w:t>
            </w:r>
          </w:p>
          <w:p>
            <w:pPr>
              <w:tabs>
                <w:tab w:val="left" w:pos="1467"/>
              </w:tabs>
              <w:rPr>
                <w:rFonts w:asciiTheme="minorEastAsia" w:hAnsiTheme="minorEastAsia" w:cstheme="minorEastAsia"/>
                <w:sz w:val="24"/>
              </w:rPr>
            </w:pPr>
            <w:r>
              <w:rPr>
                <w:rFonts w:hint="eastAsia" w:asciiTheme="minorEastAsia" w:hAnsiTheme="minorEastAsia" w:cstheme="minorEastAsia"/>
                <w:sz w:val="24"/>
              </w:rPr>
              <w:tab/>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（14）双目失明</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（15）瘫痪</w:t>
            </w:r>
          </w:p>
        </w:tc>
      </w:tr>
      <w:tr>
        <w:tblPrEx>
          <w:tblCellMar>
            <w:top w:w="0" w:type="dxa"/>
            <w:left w:w="0" w:type="dxa"/>
            <w:bottom w:w="0" w:type="dxa"/>
            <w:right w:w="0" w:type="dxa"/>
          </w:tblCellMar>
        </w:tblPrEx>
        <w:trPr>
          <w:trHeight w:val="748"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（16）心脏瓣膜手术</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（17）严重阿尔茨海默病</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（18）严重脑损伤</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（19）严重原发性帕金森病</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（20）严重III度烧伤</w:t>
            </w:r>
          </w:p>
        </w:tc>
      </w:tr>
      <w:tr>
        <w:tblPrEx>
          <w:tblCellMar>
            <w:top w:w="0" w:type="dxa"/>
            <w:left w:w="0" w:type="dxa"/>
            <w:bottom w:w="0" w:type="dxa"/>
            <w:right w:w="0" w:type="dxa"/>
          </w:tblCellMar>
        </w:tblPrEx>
        <w:trPr>
          <w:trHeight w:val="749"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（21）严重特发性肺动脉高压</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（22）严重运动神经元病</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（23）语言能力丧失</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（24）重型再生障碍性贫血</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（25）主动脉手术</w:t>
            </w:r>
          </w:p>
        </w:tc>
      </w:tr>
      <w:tr>
        <w:tblPrEx>
          <w:tblCellMar>
            <w:top w:w="0" w:type="dxa"/>
            <w:left w:w="0" w:type="dxa"/>
            <w:bottom w:w="0" w:type="dxa"/>
            <w:right w:w="0" w:type="dxa"/>
          </w:tblCellMar>
        </w:tblPrEx>
        <w:trPr>
          <w:trHeight w:val="869" w:hRule="atLeast"/>
        </w:trPr>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14CD68"/>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（26）严重慢性呼吸衰竭</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14CD68"/>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 xml:space="preserve">（27）严重克罗恩病 </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14CD68"/>
            <w:tcMar>
              <w:top w:w="72" w:type="dxa"/>
              <w:left w:w="144" w:type="dxa"/>
              <w:bottom w:w="72" w:type="dxa"/>
              <w:right w:w="144" w:type="dxa"/>
            </w:tcMar>
          </w:tcPr>
          <w:p>
            <w:pPr>
              <w:tabs>
                <w:tab w:val="left" w:pos="816"/>
              </w:tabs>
              <w:rPr>
                <w:rFonts w:asciiTheme="minorEastAsia" w:hAnsiTheme="minorEastAsia" w:cstheme="minorEastAsia"/>
                <w:sz w:val="24"/>
              </w:rPr>
            </w:pPr>
            <w:r>
              <w:rPr>
                <w:rFonts w:hint="eastAsia" w:asciiTheme="minorEastAsia" w:hAnsiTheme="minorEastAsia" w:cstheme="minorEastAsia"/>
                <w:sz w:val="24"/>
              </w:rPr>
              <w:t xml:space="preserve">（28）严重溃疡性结肠炎 </w:t>
            </w: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p>
        </w:tc>
        <w:tc>
          <w:tcPr>
            <w:tcW w:w="1960" w:type="dxa"/>
            <w:tcBorders>
              <w:top w:val="dashSmallGap" w:color="FF6238" w:sz="6" w:space="0"/>
              <w:left w:val="dashSmallGap" w:color="FF6238" w:sz="6" w:space="0"/>
              <w:bottom w:val="dashSmallGap" w:color="FF6238" w:sz="6" w:space="0"/>
              <w:right w:val="dashSmallGap" w:color="FF6238" w:sz="6" w:space="0"/>
            </w:tcBorders>
            <w:shd w:val="clear" w:color="auto" w:fill="auto"/>
            <w:tcMar>
              <w:top w:w="72" w:type="dxa"/>
              <w:left w:w="144" w:type="dxa"/>
              <w:bottom w:w="72" w:type="dxa"/>
              <w:right w:w="144" w:type="dxa"/>
            </w:tcMar>
          </w:tcPr>
          <w:p>
            <w:pPr>
              <w:tabs>
                <w:tab w:val="left" w:pos="816"/>
              </w:tabs>
              <w:rPr>
                <w:rFonts w:asciiTheme="minorEastAsia" w:hAnsiTheme="minorEastAsia" w:cstheme="minorEastAsia"/>
                <w:sz w:val="24"/>
              </w:rPr>
            </w:pPr>
          </w:p>
        </w:tc>
      </w:tr>
    </w:tbl>
    <w:p>
      <w:pPr>
        <w:tabs>
          <w:tab w:val="left" w:pos="720"/>
          <w:tab w:val="left" w:pos="816"/>
        </w:tabs>
        <w:rPr>
          <w:rFonts w:asciiTheme="minorEastAsia" w:hAnsiTheme="minorEastAsia" w:cstheme="minorEastAsia"/>
          <w:b/>
          <w:bCs/>
          <w:sz w:val="24"/>
        </w:rPr>
      </w:pPr>
      <w:r>
        <w:rPr>
          <w:rFonts w:hint="eastAsia" w:asciiTheme="minorEastAsia" w:hAnsiTheme="minorEastAsia" w:cstheme="minorEastAsia"/>
          <w:b/>
          <w:bCs/>
          <w:sz w:val="24"/>
        </w:rPr>
        <w:t>(蓝色包含轻症，绿色为新增重疾)</w:t>
      </w:r>
    </w:p>
    <w:tbl>
      <w:tblPr>
        <w:tblStyle w:val="3"/>
        <w:tblW w:w="8892" w:type="dxa"/>
        <w:tblInd w:w="113" w:type="dxa"/>
        <w:tblLayout w:type="fixed"/>
        <w:tblCellMar>
          <w:top w:w="0" w:type="dxa"/>
          <w:left w:w="108" w:type="dxa"/>
          <w:bottom w:w="0" w:type="dxa"/>
          <w:right w:w="108" w:type="dxa"/>
        </w:tblCellMar>
      </w:tblPr>
      <w:tblGrid>
        <w:gridCol w:w="1560"/>
        <w:gridCol w:w="1080"/>
        <w:gridCol w:w="867"/>
        <w:gridCol w:w="780"/>
        <w:gridCol w:w="1620"/>
        <w:gridCol w:w="795"/>
        <w:gridCol w:w="1095"/>
        <w:gridCol w:w="1095"/>
      </w:tblGrid>
      <w:tr>
        <w:tblPrEx>
          <w:tblCellMar>
            <w:top w:w="0" w:type="dxa"/>
            <w:left w:w="108" w:type="dxa"/>
            <w:bottom w:w="0" w:type="dxa"/>
            <w:right w:w="108" w:type="dxa"/>
          </w:tblCellMar>
        </w:tblPrEx>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年龄段</w:t>
            </w:r>
          </w:p>
        </w:tc>
        <w:tc>
          <w:tcPr>
            <w:tcW w:w="1080"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性别</w:t>
            </w:r>
          </w:p>
        </w:tc>
        <w:tc>
          <w:tcPr>
            <w:tcW w:w="867"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30万</w:t>
            </w:r>
          </w:p>
        </w:tc>
        <w:tc>
          <w:tcPr>
            <w:tcW w:w="780"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40万</w:t>
            </w:r>
          </w:p>
        </w:tc>
        <w:tc>
          <w:tcPr>
            <w:tcW w:w="1620"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年龄段</w:t>
            </w:r>
          </w:p>
        </w:tc>
        <w:tc>
          <w:tcPr>
            <w:tcW w:w="795"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性别</w:t>
            </w:r>
          </w:p>
        </w:tc>
        <w:tc>
          <w:tcPr>
            <w:tcW w:w="1095"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30万</w:t>
            </w:r>
          </w:p>
        </w:tc>
        <w:tc>
          <w:tcPr>
            <w:tcW w:w="1095"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6"/>
                <w:szCs w:val="26"/>
              </w:rPr>
            </w:pPr>
            <w:r>
              <w:rPr>
                <w:rFonts w:hint="eastAsia" w:asciiTheme="minorEastAsia" w:hAnsiTheme="minorEastAsia" w:cstheme="minorEastAsia"/>
                <w:color w:val="000000"/>
                <w:kern w:val="0"/>
                <w:sz w:val="26"/>
                <w:szCs w:val="26"/>
              </w:rPr>
              <w:t>40万</w:t>
            </w:r>
          </w:p>
        </w:tc>
      </w:tr>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21-25岁</w:t>
            </w: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117</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157</w:t>
            </w:r>
          </w:p>
        </w:tc>
        <w:tc>
          <w:tcPr>
            <w:tcW w:w="162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46-50岁</w:t>
            </w: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910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1205</w:t>
            </w:r>
          </w:p>
        </w:tc>
      </w:tr>
      <w:tr>
        <w:tblPrEx>
          <w:tblCellMar>
            <w:top w:w="0" w:type="dxa"/>
            <w:left w:w="108" w:type="dxa"/>
            <w:bottom w:w="0" w:type="dxa"/>
            <w:right w:w="108" w:type="dxa"/>
          </w:tblCellMar>
        </w:tblPrEx>
        <w:trPr>
          <w:trHeight w:val="2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121</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156</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950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1270</w:t>
            </w:r>
          </w:p>
        </w:tc>
      </w:tr>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26-30岁</w:t>
            </w: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171</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216</w:t>
            </w:r>
          </w:p>
        </w:tc>
        <w:tc>
          <w:tcPr>
            <w:tcW w:w="162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51-55岁</w:t>
            </w: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1430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1910</w:t>
            </w:r>
          </w:p>
        </w:tc>
      </w:tr>
      <w:tr>
        <w:tblPrEx>
          <w:tblCellMar>
            <w:top w:w="0" w:type="dxa"/>
            <w:left w:w="108" w:type="dxa"/>
            <w:bottom w:w="0" w:type="dxa"/>
            <w:right w:w="108" w:type="dxa"/>
          </w:tblCellMar>
        </w:tblPrEx>
        <w:trPr>
          <w:trHeight w:val="2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202</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252</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1170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1560</w:t>
            </w:r>
          </w:p>
        </w:tc>
      </w:tr>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31-35岁</w:t>
            </w: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278</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348</w:t>
            </w:r>
          </w:p>
        </w:tc>
        <w:tc>
          <w:tcPr>
            <w:tcW w:w="162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56-60岁</w:t>
            </w: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2220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2965</w:t>
            </w:r>
          </w:p>
        </w:tc>
      </w:tr>
      <w:tr>
        <w:tblPrEx>
          <w:tblCellMar>
            <w:top w:w="0" w:type="dxa"/>
            <w:left w:w="108" w:type="dxa"/>
            <w:bottom w:w="0" w:type="dxa"/>
            <w:right w:w="108" w:type="dxa"/>
          </w:tblCellMar>
        </w:tblPrEx>
        <w:trPr>
          <w:trHeight w:val="2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334</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392</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1560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2100</w:t>
            </w:r>
          </w:p>
        </w:tc>
      </w:tr>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36-40岁</w:t>
            </w: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456</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576</w:t>
            </w:r>
          </w:p>
        </w:tc>
        <w:tc>
          <w:tcPr>
            <w:tcW w:w="162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61-65岁</w:t>
            </w: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3280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4400</w:t>
            </w:r>
          </w:p>
        </w:tc>
      </w:tr>
      <w:tr>
        <w:tblPrEx>
          <w:tblCellMar>
            <w:top w:w="0" w:type="dxa"/>
            <w:left w:w="108" w:type="dxa"/>
            <w:bottom w:w="0" w:type="dxa"/>
            <w:right w:w="108" w:type="dxa"/>
          </w:tblCellMar>
        </w:tblPrEx>
        <w:trPr>
          <w:trHeight w:val="2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570</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720</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2200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2950</w:t>
            </w:r>
          </w:p>
        </w:tc>
      </w:tr>
      <w:tr>
        <w:tblPrEx>
          <w:tblCellMar>
            <w:top w:w="0" w:type="dxa"/>
            <w:left w:w="108" w:type="dxa"/>
            <w:bottom w:w="0" w:type="dxa"/>
            <w:right w:w="108" w:type="dxa"/>
          </w:tblCellMar>
        </w:tblPrEx>
        <w:trPr>
          <w:trHeight w:val="27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41-45岁</w:t>
            </w: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702</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792</w:t>
            </w:r>
          </w:p>
        </w:tc>
        <w:tc>
          <w:tcPr>
            <w:tcW w:w="1620" w:type="dxa"/>
            <w:vMerge w:val="restart"/>
            <w:tcBorders>
              <w:top w:val="single" w:color="auto" w:sz="4" w:space="0"/>
              <w:left w:val="single" w:color="auto" w:sz="4" w:space="0"/>
              <w:bottom w:val="single" w:color="auto" w:sz="4" w:space="0"/>
              <w:right w:val="single" w:color="auto" w:sz="4" w:space="0"/>
            </w:tcBorders>
            <w:shd w:val="clear" w:color="000000" w:fill="D8E4BC"/>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66-70岁</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（仅限续保）</w:t>
            </w: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男</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4725</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7150</w:t>
            </w:r>
          </w:p>
        </w:tc>
      </w:tr>
      <w:tr>
        <w:tblPrEx>
          <w:tblCellMar>
            <w:top w:w="0" w:type="dxa"/>
            <w:left w:w="108" w:type="dxa"/>
            <w:bottom w:w="0" w:type="dxa"/>
            <w:right w:w="108" w:type="dxa"/>
          </w:tblCellMar>
        </w:tblPrEx>
        <w:trPr>
          <w:trHeight w:val="2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10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867"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852</w:t>
            </w:r>
          </w:p>
        </w:tc>
        <w:tc>
          <w:tcPr>
            <w:tcW w:w="780"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950</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cstheme="minorEastAsia"/>
                <w:color w:val="000000"/>
                <w:kern w:val="0"/>
                <w:sz w:val="24"/>
              </w:rPr>
            </w:pPr>
          </w:p>
        </w:tc>
        <w:tc>
          <w:tcPr>
            <w:tcW w:w="7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女</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3030</w:t>
            </w:r>
          </w:p>
        </w:tc>
        <w:tc>
          <w:tcPr>
            <w:tcW w:w="1095" w:type="dxa"/>
            <w:tcBorders>
              <w:top w:val="single" w:color="auto" w:sz="4" w:space="0"/>
              <w:left w:val="single" w:color="auto" w:sz="4" w:space="0"/>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4050</w:t>
            </w:r>
          </w:p>
        </w:tc>
      </w:tr>
      <w:tr>
        <w:tblPrEx>
          <w:tblCellMar>
            <w:top w:w="0" w:type="dxa"/>
            <w:left w:w="108" w:type="dxa"/>
            <w:bottom w:w="0" w:type="dxa"/>
            <w:right w:w="108" w:type="dxa"/>
          </w:tblCellMar>
        </w:tblPrEx>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年龄段</w:t>
            </w:r>
          </w:p>
        </w:tc>
        <w:tc>
          <w:tcPr>
            <w:tcW w:w="1080"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性别</w:t>
            </w:r>
          </w:p>
        </w:tc>
        <w:tc>
          <w:tcPr>
            <w:tcW w:w="867" w:type="dxa"/>
            <w:tcBorders>
              <w:top w:val="single" w:color="auto" w:sz="4" w:space="0"/>
              <w:left w:val="nil"/>
              <w:bottom w:val="single" w:color="auto" w:sz="4" w:space="0"/>
              <w:right w:val="single" w:color="auto" w:sz="4" w:space="0"/>
            </w:tcBorders>
            <w:shd w:val="clear" w:color="000000"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25万</w:t>
            </w:r>
          </w:p>
        </w:tc>
        <w:tc>
          <w:tcPr>
            <w:tcW w:w="78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color w:val="000000"/>
                <w:kern w:val="0"/>
                <w:sz w:val="24"/>
              </w:rPr>
            </w:pPr>
          </w:p>
        </w:tc>
        <w:tc>
          <w:tcPr>
            <w:tcW w:w="1620"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年龄段</w:t>
            </w:r>
          </w:p>
        </w:tc>
        <w:tc>
          <w:tcPr>
            <w:tcW w:w="795"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性别</w:t>
            </w:r>
          </w:p>
        </w:tc>
        <w:tc>
          <w:tcPr>
            <w:tcW w:w="1095"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25万</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kern w:val="0"/>
                <w:sz w:val="24"/>
              </w:rPr>
            </w:pPr>
          </w:p>
        </w:tc>
      </w:tr>
      <w:tr>
        <w:tblPrEx>
          <w:tblCellMar>
            <w:top w:w="0" w:type="dxa"/>
            <w:left w:w="108" w:type="dxa"/>
            <w:bottom w:w="0" w:type="dxa"/>
            <w:right w:w="108" w:type="dxa"/>
          </w:tblCellMar>
        </w:tblPrEx>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0-4</w:t>
            </w:r>
          </w:p>
        </w:tc>
        <w:tc>
          <w:tcPr>
            <w:tcW w:w="1080" w:type="dxa"/>
            <w:tcBorders>
              <w:top w:val="single" w:color="auto" w:sz="4" w:space="0"/>
              <w:left w:val="nil"/>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不限</w:t>
            </w:r>
          </w:p>
        </w:tc>
        <w:tc>
          <w:tcPr>
            <w:tcW w:w="867" w:type="dxa"/>
            <w:tcBorders>
              <w:top w:val="single" w:color="auto" w:sz="4" w:space="0"/>
              <w:left w:val="nil"/>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460</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b/>
                <w:bCs/>
                <w:color w:val="000000"/>
                <w:kern w:val="0"/>
                <w:sz w:val="24"/>
              </w:rPr>
            </w:pPr>
          </w:p>
        </w:tc>
        <w:tc>
          <w:tcPr>
            <w:tcW w:w="16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5-10</w:t>
            </w:r>
          </w:p>
        </w:tc>
        <w:tc>
          <w:tcPr>
            <w:tcW w:w="79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不限</w:t>
            </w:r>
          </w:p>
        </w:tc>
        <w:tc>
          <w:tcPr>
            <w:tcW w:w="109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360</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kern w:val="0"/>
                <w:sz w:val="24"/>
              </w:rPr>
            </w:pPr>
          </w:p>
        </w:tc>
      </w:tr>
      <w:tr>
        <w:tblPrEx>
          <w:tblCellMar>
            <w:top w:w="0" w:type="dxa"/>
            <w:left w:w="108" w:type="dxa"/>
            <w:bottom w:w="0" w:type="dxa"/>
            <w:right w:w="108" w:type="dxa"/>
          </w:tblCellMar>
        </w:tblPrEx>
        <w:trPr>
          <w:trHeight w:val="404"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11-15</w:t>
            </w:r>
          </w:p>
        </w:tc>
        <w:tc>
          <w:tcPr>
            <w:tcW w:w="1080" w:type="dxa"/>
            <w:tcBorders>
              <w:top w:val="single" w:color="auto" w:sz="4" w:space="0"/>
              <w:left w:val="nil"/>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不限</w:t>
            </w:r>
          </w:p>
        </w:tc>
        <w:tc>
          <w:tcPr>
            <w:tcW w:w="867" w:type="dxa"/>
            <w:tcBorders>
              <w:top w:val="single" w:color="auto" w:sz="4" w:space="0"/>
              <w:left w:val="nil"/>
              <w:bottom w:val="single" w:color="auto" w:sz="4" w:space="0"/>
              <w:right w:val="single" w:color="auto" w:sz="4" w:space="0"/>
            </w:tcBorders>
            <w:shd w:val="clear" w:color="000000" w:fill="D8E4BC"/>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300</w:t>
            </w:r>
          </w:p>
        </w:tc>
        <w:tc>
          <w:tcPr>
            <w:tcW w:w="7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b/>
                <w:bCs/>
                <w:color w:val="000000"/>
                <w:kern w:val="0"/>
                <w:sz w:val="24"/>
              </w:rPr>
            </w:pPr>
          </w:p>
        </w:tc>
        <w:tc>
          <w:tcPr>
            <w:tcW w:w="16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16-20</w:t>
            </w:r>
          </w:p>
        </w:tc>
        <w:tc>
          <w:tcPr>
            <w:tcW w:w="79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bottom"/>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不限</w:t>
            </w:r>
          </w:p>
        </w:tc>
        <w:tc>
          <w:tcPr>
            <w:tcW w:w="1095" w:type="dxa"/>
            <w:tcBorders>
              <w:top w:val="single" w:color="auto" w:sz="4" w:space="0"/>
              <w:left w:val="single" w:color="auto" w:sz="4" w:space="0"/>
              <w:bottom w:val="single" w:color="auto" w:sz="4" w:space="0"/>
              <w:right w:val="single" w:color="auto" w:sz="4" w:space="0"/>
            </w:tcBorders>
            <w:shd w:val="clear" w:color="auto" w:fill="C5E0B3" w:themeFill="accent6" w:themeFillTint="66"/>
            <w:noWrap/>
            <w:vAlign w:val="bottom"/>
          </w:tcPr>
          <w:p>
            <w:pPr>
              <w:widowControl/>
              <w:jc w:val="left"/>
              <w:rPr>
                <w:rFonts w:asciiTheme="minorEastAsia" w:hAnsiTheme="minorEastAsia" w:cstheme="minorEastAsia"/>
                <w:b/>
                <w:bCs/>
                <w:color w:val="000000"/>
                <w:kern w:val="0"/>
                <w:sz w:val="24"/>
              </w:rPr>
            </w:pPr>
            <w:r>
              <w:rPr>
                <w:rFonts w:hint="eastAsia" w:asciiTheme="minorEastAsia" w:hAnsiTheme="minorEastAsia" w:cstheme="minorEastAsia"/>
                <w:b/>
                <w:bCs/>
                <w:color w:val="000000"/>
                <w:kern w:val="0"/>
                <w:sz w:val="24"/>
              </w:rPr>
              <w:t>280</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heme="minorEastAsia" w:hAnsiTheme="minorEastAsia" w:cstheme="minorEastAsia"/>
                <w:kern w:val="0"/>
                <w:sz w:val="24"/>
              </w:rPr>
            </w:pPr>
          </w:p>
        </w:tc>
      </w:tr>
    </w:tbl>
    <w:p>
      <w:pPr>
        <w:tabs>
          <w:tab w:val="left" w:pos="816"/>
        </w:tabs>
        <w:rPr>
          <w:rFonts w:asciiTheme="minorEastAsia" w:hAnsiTheme="minorEastAsia" w:cstheme="minorEastAsia"/>
          <w:b/>
          <w:bCs/>
          <w:sz w:val="24"/>
        </w:rPr>
      </w:pPr>
      <w:r>
        <w:rPr>
          <w:rFonts w:hint="eastAsia" w:asciiTheme="minorEastAsia" w:hAnsiTheme="minorEastAsia" w:cstheme="minorEastAsia"/>
          <w:b/>
          <w:bCs/>
          <w:sz w:val="24"/>
        </w:rPr>
        <w:t>（重大疾病险保费）</w:t>
      </w:r>
    </w:p>
    <w:p>
      <w:pPr>
        <w:rPr>
          <w:rFonts w:asciiTheme="minorEastAsia" w:hAnsiTheme="minorEastAsia" w:cstheme="minorEastAsia"/>
          <w:sz w:val="24"/>
        </w:rPr>
      </w:pPr>
      <w:r>
        <w:rPr>
          <w:rFonts w:hint="eastAsia" w:asciiTheme="minorEastAsia" w:hAnsiTheme="minorEastAsia" w:cstheme="minorEastAsia"/>
          <w:sz w:val="24"/>
        </w:rPr>
        <w:t>5.价格优：</w:t>
      </w:r>
      <w:r>
        <w:rPr>
          <w:rFonts w:hint="eastAsia" w:asciiTheme="minorEastAsia" w:hAnsiTheme="minorEastAsia" w:cstheme="minorEastAsia"/>
          <w:sz w:val="24"/>
          <w:lang w:eastAsia="zh-CN"/>
        </w:rPr>
        <w:t>学校</w:t>
      </w:r>
      <w:r>
        <w:rPr>
          <w:rFonts w:hint="eastAsia" w:asciiTheme="minorEastAsia" w:hAnsiTheme="minorEastAsia" w:cstheme="minorEastAsia"/>
          <w:sz w:val="24"/>
        </w:rPr>
        <w:t>专属方案，个人无法购买，社会不销售，享受人保总公司特批折扣。</w:t>
      </w:r>
    </w:p>
    <w:p>
      <w:pPr>
        <w:rPr>
          <w:rFonts w:asciiTheme="minorEastAsia" w:hAnsiTheme="minorEastAsia" w:cstheme="minorEastAsia"/>
          <w:sz w:val="24"/>
        </w:rPr>
      </w:pPr>
      <w:r>
        <w:rPr>
          <w:rFonts w:asciiTheme="minorEastAsia" w:hAnsiTheme="minorEastAsia" w:cstheme="minorEastAsia"/>
          <w:bCs/>
          <w:sz w:val="24"/>
        </w:rPr>
        <w:t>6.</w:t>
      </w:r>
      <w:r>
        <w:rPr>
          <w:rFonts w:hint="eastAsia" w:asciiTheme="minorEastAsia" w:hAnsiTheme="minorEastAsia" w:cstheme="minorEastAsia"/>
          <w:bCs/>
          <w:sz w:val="24"/>
        </w:rPr>
        <w:t>28种</w:t>
      </w:r>
      <w:r>
        <w:rPr>
          <w:rFonts w:hint="eastAsia" w:asciiTheme="minorEastAsia" w:hAnsiTheme="minorEastAsia" w:cstheme="minorEastAsia"/>
          <w:sz w:val="24"/>
        </w:rPr>
        <w:t>重大疾病，已涵盖市面上90%以上的常见重大疾病。</w:t>
      </w:r>
    </w:p>
    <w:p>
      <w:pPr>
        <w:rPr>
          <w:rFonts w:asciiTheme="minorEastAsia" w:hAnsiTheme="minorEastAsia" w:cstheme="minorEastAsia"/>
          <w:bCs/>
          <w:sz w:val="24"/>
        </w:rPr>
      </w:pPr>
      <w:r>
        <w:rPr>
          <w:rFonts w:asciiTheme="minorEastAsia" w:hAnsiTheme="minorEastAsia" w:cstheme="minorEastAsia"/>
          <w:bCs/>
          <w:sz w:val="24"/>
        </w:rPr>
        <w:t>7.</w:t>
      </w:r>
      <w:r>
        <w:rPr>
          <w:rFonts w:hint="eastAsia" w:asciiTheme="minorEastAsia" w:hAnsiTheme="minorEastAsia" w:cstheme="minorEastAsia"/>
          <w:bCs/>
          <w:sz w:val="24"/>
        </w:rPr>
        <w:t>理赔方便：一次性给付，不需要凭发票来理算、报销。此款产品和医保不冲突，被保险人确诊即足额赔付，被保险人可自由支配赔款，大大缓解了家庭及个人经济压力。</w:t>
      </w:r>
    </w:p>
    <w:p>
      <w:pPr>
        <w:rPr>
          <w:rFonts w:asciiTheme="minorEastAsia" w:hAnsiTheme="minorEastAsia" w:cstheme="minorEastAsia"/>
          <w:sz w:val="24"/>
        </w:rPr>
      </w:pPr>
      <w:r>
        <w:rPr>
          <w:rFonts w:asciiTheme="minorEastAsia" w:hAnsiTheme="minorEastAsia" w:cstheme="minorEastAsia"/>
          <w:sz w:val="24"/>
        </w:rPr>
        <w:t>8.</w:t>
      </w:r>
      <w:r>
        <w:rPr>
          <w:rFonts w:hint="eastAsia" w:asciiTheme="minorEastAsia" w:hAnsiTheme="minorEastAsia" w:cstheme="minorEastAsia"/>
          <w:sz w:val="24"/>
        </w:rPr>
        <w:t>重大疾病</w:t>
      </w:r>
      <w:r>
        <w:rPr>
          <w:rFonts w:hint="eastAsia" w:asciiTheme="minorEastAsia" w:hAnsiTheme="minorEastAsia" w:cstheme="minorEastAsia"/>
          <w:b/>
          <w:bCs/>
          <w:sz w:val="24"/>
        </w:rPr>
        <w:t>首次发病是指</w:t>
      </w:r>
      <w:r>
        <w:rPr>
          <w:rFonts w:hint="eastAsia" w:asciiTheme="minorEastAsia" w:hAnsiTheme="minorEastAsia" w:cstheme="minorEastAsia"/>
          <w:sz w:val="24"/>
        </w:rPr>
        <w:t>被保险人出险本保险合同所约定的疾病或需接受本保险合同所列手术的千兆、症状或异常的身体状况，或已经显现足以促使一般普通谨慎人士引起注意并寻求诊断、治疗或护理的病症。</w:t>
      </w:r>
    </w:p>
    <w:p>
      <w:pPr>
        <w:ind w:firstLine="482" w:firstLineChars="200"/>
        <w:rPr>
          <w:rFonts w:asciiTheme="minorEastAsia" w:hAnsiTheme="minorEastAsia" w:cstheme="minorEastAsia"/>
          <w:sz w:val="24"/>
        </w:rPr>
      </w:pPr>
      <w:r>
        <w:rPr>
          <w:rFonts w:hint="eastAsia" w:asciiTheme="minorEastAsia" w:hAnsiTheme="minorEastAsia" w:cstheme="minorEastAsia"/>
          <w:b/>
          <w:bCs/>
          <w:sz w:val="24"/>
        </w:rPr>
        <w:t>首次发病</w:t>
      </w:r>
      <w:r>
        <w:rPr>
          <w:rFonts w:hint="eastAsia" w:asciiTheme="minorEastAsia" w:hAnsiTheme="minorEastAsia" w:cstheme="minorEastAsia"/>
          <w:sz w:val="24"/>
        </w:rPr>
        <w:t>，是指被保险人第一次发生并首次被确诊患上本合同约定的重大疾病，并且该疾病在该被保险人获得被保资格前并未发病或有任何病状；或被保险人第一次接受本合同约定的手术，并且在该被保险人获得被保资格前没有发生该手术所治疗的疾病或其病状。</w:t>
      </w:r>
    </w:p>
    <w:p>
      <w:pPr>
        <w:spacing w:line="360" w:lineRule="auto"/>
        <w:rPr>
          <w:rFonts w:asciiTheme="minorEastAsia" w:hAnsiTheme="minorEastAsia"/>
          <w:b/>
          <w:sz w:val="24"/>
        </w:rPr>
      </w:pPr>
      <w:r>
        <w:rPr>
          <w:rFonts w:hint="eastAsia" w:asciiTheme="minorEastAsia" w:hAnsiTheme="minorEastAsia"/>
          <w:b/>
          <w:sz w:val="24"/>
        </w:rPr>
        <w:t>9</w:t>
      </w:r>
      <w:r>
        <w:rPr>
          <w:rFonts w:hint="eastAsia" w:asciiTheme="minorEastAsia" w:hAnsiTheme="minorEastAsia" w:cstheme="minorEastAsia"/>
          <w:b/>
          <w:sz w:val="24"/>
        </w:rPr>
        <w:t>.每人限购一份。</w:t>
      </w:r>
    </w:p>
    <w:p>
      <w:pPr>
        <w:spacing w:line="360" w:lineRule="auto"/>
        <w:rPr>
          <w:rFonts w:asciiTheme="minorEastAsia" w:hAnsiTheme="minorEastAsia"/>
          <w:sz w:val="24"/>
        </w:rPr>
      </w:pPr>
    </w:p>
    <w:p>
      <w:pPr>
        <w:rPr>
          <w:b/>
          <w:sz w:val="24"/>
          <w:highlight w:val="yellow"/>
        </w:rPr>
      </w:pPr>
      <w:r>
        <w:rPr>
          <w:rFonts w:hint="eastAsia"/>
          <w:b/>
          <w:sz w:val="24"/>
          <w:highlight w:val="yellow"/>
        </w:rPr>
        <w:t>（二）团体意外险：</w:t>
      </w:r>
    </w:p>
    <w:tbl>
      <w:tblPr>
        <w:tblStyle w:val="3"/>
        <w:tblpPr w:leftFromText="180" w:rightFromText="180" w:vertAnchor="text" w:horzAnchor="page" w:tblpX="682" w:tblpY="444"/>
        <w:tblOverlap w:val="never"/>
        <w:tblW w:w="10201" w:type="dxa"/>
        <w:tblInd w:w="0" w:type="dxa"/>
        <w:tblLayout w:type="fixed"/>
        <w:tblCellMar>
          <w:top w:w="0" w:type="dxa"/>
          <w:left w:w="108" w:type="dxa"/>
          <w:bottom w:w="0" w:type="dxa"/>
          <w:right w:w="108" w:type="dxa"/>
        </w:tblCellMar>
      </w:tblPr>
      <w:tblGrid>
        <w:gridCol w:w="2918"/>
        <w:gridCol w:w="1560"/>
        <w:gridCol w:w="5723"/>
      </w:tblGrid>
      <w:tr>
        <w:tblPrEx>
          <w:tblCellMar>
            <w:top w:w="0" w:type="dxa"/>
            <w:left w:w="108" w:type="dxa"/>
            <w:bottom w:w="0" w:type="dxa"/>
            <w:right w:w="108" w:type="dxa"/>
          </w:tblCellMar>
        </w:tblPrEx>
        <w:trPr>
          <w:trHeight w:val="583"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教职员工（本人及配偶）</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保险责任</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保险金额</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备注</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意外身故</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50万元</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每人赔付50万元</w:t>
            </w:r>
          </w:p>
        </w:tc>
      </w:tr>
      <w:tr>
        <w:tblPrEx>
          <w:tblCellMar>
            <w:top w:w="0" w:type="dxa"/>
            <w:left w:w="108" w:type="dxa"/>
            <w:bottom w:w="0" w:type="dxa"/>
            <w:right w:w="108" w:type="dxa"/>
          </w:tblCellMar>
        </w:tblPrEx>
        <w:trPr>
          <w:trHeight w:val="9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意外残疾</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50万元</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按照残疾鉴定等级赔付，最低十级</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意外医疗</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10万元</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每次免赔200元，给付比例80%（不分门诊和住院）</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意外伤害住院津贴</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100元/天</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每人累计最多赔付180天，免赔3天</w:t>
            </w:r>
          </w:p>
        </w:tc>
      </w:tr>
      <w:tr>
        <w:tblPrEx>
          <w:tblCellMar>
            <w:top w:w="0" w:type="dxa"/>
            <w:left w:w="108" w:type="dxa"/>
            <w:bottom w:w="0" w:type="dxa"/>
            <w:right w:w="108" w:type="dxa"/>
          </w:tblCellMar>
        </w:tblPrEx>
        <w:trPr>
          <w:trHeight w:val="603"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保费：150元/年/人</w:t>
            </w:r>
          </w:p>
        </w:tc>
      </w:tr>
      <w:tr>
        <w:tblPrEx>
          <w:tblCellMar>
            <w:top w:w="0" w:type="dxa"/>
            <w:left w:w="108" w:type="dxa"/>
            <w:bottom w:w="0" w:type="dxa"/>
            <w:right w:w="108" w:type="dxa"/>
          </w:tblCellMar>
        </w:tblPrEx>
        <w:trPr>
          <w:trHeight w:val="448"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教职员工家属（10周岁以上子女、父母）</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保险责任</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保险金额</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备注</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意外身故</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30万元</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每人赔付30万元</w:t>
            </w:r>
          </w:p>
        </w:tc>
      </w:tr>
      <w:tr>
        <w:tblPrEx>
          <w:tblCellMar>
            <w:top w:w="0" w:type="dxa"/>
            <w:left w:w="108" w:type="dxa"/>
            <w:bottom w:w="0" w:type="dxa"/>
            <w:right w:w="108" w:type="dxa"/>
          </w:tblCellMar>
        </w:tblPrEx>
        <w:trPr>
          <w:trHeight w:val="345"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意外残疾</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30万元</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按照残疾鉴定等级赔付，最低十级</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意外医疗</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5万</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每次免赔200元，给付比例80%（不分门诊和住院）</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意外伤害住院津贴</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100元/天</w:t>
            </w:r>
          </w:p>
        </w:tc>
        <w:tc>
          <w:tcPr>
            <w:tcW w:w="5723"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每人累计最多赔付180天，免赔3天</w:t>
            </w:r>
          </w:p>
        </w:tc>
      </w:tr>
      <w:tr>
        <w:tblPrEx>
          <w:tblCellMar>
            <w:top w:w="0" w:type="dxa"/>
            <w:left w:w="108" w:type="dxa"/>
            <w:bottom w:w="0" w:type="dxa"/>
            <w:right w:w="108" w:type="dxa"/>
          </w:tblCellMar>
        </w:tblPrEx>
        <w:trPr>
          <w:trHeight w:val="474"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tbl>
            <w:tblPr>
              <w:tblStyle w:val="3"/>
              <w:tblpPr w:leftFromText="180" w:rightFromText="180" w:vertAnchor="text" w:horzAnchor="page" w:tblpX="1" w:tblpY="634"/>
              <w:tblOverlap w:val="never"/>
              <w:tblW w:w="10201" w:type="dxa"/>
              <w:tblInd w:w="0" w:type="dxa"/>
              <w:tblLayout w:type="fixed"/>
              <w:tblCellMar>
                <w:top w:w="0" w:type="dxa"/>
                <w:left w:w="108" w:type="dxa"/>
                <w:bottom w:w="0" w:type="dxa"/>
                <w:right w:w="108" w:type="dxa"/>
              </w:tblCellMar>
            </w:tblPr>
            <w:tblGrid>
              <w:gridCol w:w="2918"/>
              <w:gridCol w:w="1545"/>
              <w:gridCol w:w="5738"/>
            </w:tblGrid>
            <w:tr>
              <w:tblPrEx>
                <w:tblCellMar>
                  <w:top w:w="0" w:type="dxa"/>
                  <w:left w:w="108" w:type="dxa"/>
                  <w:bottom w:w="0" w:type="dxa"/>
                  <w:right w:w="108" w:type="dxa"/>
                </w:tblCellMar>
              </w:tblPrEx>
              <w:trPr>
                <w:trHeight w:val="448"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教职员工子女（2-9周岁会员子女）</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保险责任</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保险金额</w:t>
                  </w:r>
                </w:p>
              </w:tc>
              <w:tc>
                <w:tcPr>
                  <w:tcW w:w="573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备注</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意外身故</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20万元</w:t>
                  </w:r>
                </w:p>
              </w:tc>
              <w:tc>
                <w:tcPr>
                  <w:tcW w:w="573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每人赔付20万元</w:t>
                  </w:r>
                </w:p>
              </w:tc>
            </w:tr>
            <w:tr>
              <w:tblPrEx>
                <w:tblCellMar>
                  <w:top w:w="0" w:type="dxa"/>
                  <w:left w:w="108" w:type="dxa"/>
                  <w:bottom w:w="0" w:type="dxa"/>
                  <w:right w:w="108" w:type="dxa"/>
                </w:tblCellMar>
              </w:tblPrEx>
              <w:trPr>
                <w:trHeight w:val="345"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意外残疾</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20万元</w:t>
                  </w:r>
                </w:p>
              </w:tc>
              <w:tc>
                <w:tcPr>
                  <w:tcW w:w="573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按照残疾鉴定等级赔付，最低十级</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意外医疗</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3万</w:t>
                  </w:r>
                </w:p>
              </w:tc>
              <w:tc>
                <w:tcPr>
                  <w:tcW w:w="573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每次免赔200元，给付比例80%（不分门诊和住院）</w:t>
                  </w:r>
                </w:p>
              </w:tc>
            </w:tr>
            <w:tr>
              <w:tblPrEx>
                <w:tblCellMar>
                  <w:top w:w="0" w:type="dxa"/>
                  <w:left w:w="108" w:type="dxa"/>
                  <w:bottom w:w="0" w:type="dxa"/>
                  <w:right w:w="108" w:type="dxa"/>
                </w:tblCellMar>
              </w:tblPrEx>
              <w:trPr>
                <w:trHeight w:val="360" w:hRule="atLeast"/>
              </w:trPr>
              <w:tc>
                <w:tcPr>
                  <w:tcW w:w="291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意外伤害住院津贴</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100元/天</w:t>
                  </w:r>
                </w:p>
              </w:tc>
              <w:tc>
                <w:tcPr>
                  <w:tcW w:w="5738" w:type="dxa"/>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每人累计最多赔付180天，免赔3天</w:t>
                  </w:r>
                </w:p>
              </w:tc>
            </w:tr>
            <w:tr>
              <w:tblPrEx>
                <w:tblCellMar>
                  <w:top w:w="0" w:type="dxa"/>
                  <w:left w:w="108" w:type="dxa"/>
                  <w:bottom w:w="0" w:type="dxa"/>
                  <w:right w:w="108" w:type="dxa"/>
                </w:tblCellMar>
              </w:tblPrEx>
              <w:trPr>
                <w:trHeight w:val="474" w:hRule="atLeast"/>
              </w:trPr>
              <w:tc>
                <w:tcPr>
                  <w:tcW w:w="10201" w:type="dxa"/>
                  <w:gridSpan w:val="3"/>
                  <w:tcBorders>
                    <w:top w:val="single" w:color="auto" w:sz="4" w:space="0"/>
                    <w:left w:val="single" w:color="auto" w:sz="4" w:space="0"/>
                    <w:bottom w:val="single" w:color="auto" w:sz="4" w:space="0"/>
                    <w:right w:val="single" w:color="auto" w:sz="4" w:space="0"/>
                  </w:tcBorders>
                  <w:shd w:val="clear" w:color="auto" w:fill="auto"/>
                  <w:vAlign w:val="bottom"/>
                </w:tcPr>
                <w:p>
                  <w:r>
                    <w:rPr>
                      <w:rFonts w:hint="eastAsia"/>
                    </w:rPr>
                    <w:t>保费：150元/年/人</w:t>
                  </w:r>
                </w:p>
              </w:tc>
            </w:tr>
          </w:tbl>
          <w:p>
            <w:r>
              <w:rPr>
                <w:rFonts w:hint="eastAsia"/>
              </w:rPr>
              <w:t>保费：150元/年/人</w:t>
            </w:r>
          </w:p>
        </w:tc>
      </w:tr>
    </w:tbl>
    <w:p>
      <w:pPr>
        <w:spacing w:line="360" w:lineRule="auto"/>
        <w:rPr>
          <w:rFonts w:asciiTheme="minorEastAsia" w:hAnsiTheme="minorEastAsia"/>
          <w:sz w:val="24"/>
        </w:rPr>
      </w:pPr>
      <w:r>
        <w:rPr>
          <w:rFonts w:hint="eastAsia" w:asciiTheme="minorEastAsia" w:hAnsiTheme="minorEastAsia"/>
          <w:sz w:val="24"/>
        </w:rPr>
        <w:t>1.投保年龄：2-65周岁。</w:t>
      </w:r>
    </w:p>
    <w:p>
      <w:pPr>
        <w:spacing w:line="360" w:lineRule="auto"/>
        <w:rPr>
          <w:rFonts w:asciiTheme="minorEastAsia" w:hAnsiTheme="minorEastAsia"/>
          <w:sz w:val="24"/>
        </w:rPr>
      </w:pPr>
      <w:r>
        <w:rPr>
          <w:rFonts w:hint="eastAsia" w:asciiTheme="minorEastAsia" w:hAnsiTheme="minorEastAsia"/>
          <w:sz w:val="24"/>
        </w:rPr>
        <w:t>2.保险责任：在被保险期间内，被保险人遭受意外伤害，并因该意外伤害导致身故或残疾的，保险人依照约定给付保险金。</w:t>
      </w:r>
    </w:p>
    <w:p>
      <w:pPr>
        <w:spacing w:line="360" w:lineRule="auto"/>
        <w:rPr>
          <w:rFonts w:asciiTheme="minorEastAsia" w:hAnsiTheme="minorEastAsia"/>
          <w:sz w:val="24"/>
        </w:rPr>
      </w:pPr>
      <w:r>
        <w:rPr>
          <w:rFonts w:hint="eastAsia" w:asciiTheme="minorEastAsia" w:hAnsiTheme="minorEastAsia"/>
          <w:sz w:val="24"/>
        </w:rPr>
        <w:t>3.意外伤害是指外来的、突发的、非本意的、非疾病的客观事件为直接且单独的原因致使被保险人身体受到的伤害。</w:t>
      </w:r>
    </w:p>
    <w:p>
      <w:pPr>
        <w:spacing w:line="360" w:lineRule="auto"/>
        <w:rPr>
          <w:rFonts w:asciiTheme="minorEastAsia" w:hAnsiTheme="minorEastAsia"/>
          <w:sz w:val="24"/>
        </w:rPr>
      </w:pPr>
      <w:r>
        <w:rPr>
          <w:rFonts w:hint="eastAsia" w:asciiTheme="minorEastAsia" w:hAnsiTheme="minorEastAsia"/>
          <w:sz w:val="24"/>
        </w:rPr>
        <w:t>4.</w:t>
      </w:r>
      <w:r>
        <w:rPr>
          <w:rFonts w:hint="eastAsia"/>
        </w:rPr>
        <w:t xml:space="preserve"> </w:t>
      </w:r>
      <w:r>
        <w:rPr>
          <w:rFonts w:hint="eastAsia" w:asciiTheme="minorEastAsia" w:hAnsiTheme="minorEastAsia"/>
          <w:sz w:val="24"/>
        </w:rPr>
        <w:t>每人限购一份</w:t>
      </w:r>
    </w:p>
    <w:p>
      <w:pPr>
        <w:spacing w:line="360" w:lineRule="auto"/>
        <w:rPr>
          <w:rFonts w:asciiTheme="minorEastAsia" w:hAnsiTheme="minorEastAsia"/>
          <w:b/>
          <w:sz w:val="24"/>
          <w:highlight w:val="yellow"/>
        </w:rPr>
      </w:pPr>
      <w:r>
        <w:rPr>
          <w:rFonts w:hint="eastAsia" w:asciiTheme="minorEastAsia" w:hAnsiTheme="minorEastAsia"/>
          <w:b/>
          <w:sz w:val="24"/>
          <w:highlight w:val="yellow"/>
        </w:rPr>
        <w:t>（三）人人安康：</w:t>
      </w:r>
    </w:p>
    <w:p>
      <w:r>
        <w:drawing>
          <wp:inline distT="0" distB="0" distL="114300" distR="114300">
            <wp:extent cx="5002530" cy="8305800"/>
            <wp:effectExtent l="0" t="0" r="7620" b="0"/>
            <wp:docPr id="1" name="图片 1" descr="人人安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人安康"/>
                    <pic:cNvPicPr>
                      <a:picLocks noChangeAspect="1"/>
                    </pic:cNvPicPr>
                  </pic:nvPicPr>
                  <pic:blipFill>
                    <a:blip r:embed="rId4"/>
                    <a:stretch>
                      <a:fillRect/>
                    </a:stretch>
                  </pic:blipFill>
                  <pic:spPr>
                    <a:xfrm>
                      <a:off x="0" y="0"/>
                      <a:ext cx="5002530" cy="8305800"/>
                    </a:xfrm>
                    <a:prstGeom prst="rect">
                      <a:avLst/>
                    </a:prstGeom>
                  </pic:spPr>
                </pic:pic>
              </a:graphicData>
            </a:graphic>
          </wp:inline>
        </w:drawing>
      </w:r>
    </w:p>
    <w:p>
      <w:pPr>
        <w:spacing w:line="360" w:lineRule="auto"/>
        <w:rPr>
          <w:rFonts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保险责任：意外伤害、一般疾病、恶性肿瘤。</w:t>
      </w:r>
    </w:p>
    <w:p>
      <w:pPr>
        <w:spacing w:line="360" w:lineRule="auto"/>
        <w:rPr>
          <w:rFonts w:ascii="宋体" w:hAnsi="宋体" w:eastAsia="宋体"/>
          <w:sz w:val="24"/>
        </w:rPr>
      </w:pPr>
      <w:r>
        <w:rPr>
          <w:rFonts w:ascii="宋体" w:hAnsi="宋体" w:eastAsia="宋体"/>
          <w:sz w:val="24"/>
        </w:rPr>
        <w:t>2.</w:t>
      </w:r>
      <w:r>
        <w:rPr>
          <w:rFonts w:hint="eastAsia" w:ascii="宋体" w:hAnsi="宋体" w:eastAsia="宋体"/>
          <w:sz w:val="24"/>
        </w:rPr>
        <w:t>社保范围：职工医保、居民医保、农村医保。</w:t>
      </w:r>
    </w:p>
    <w:p>
      <w:pPr>
        <w:spacing w:line="360" w:lineRule="auto"/>
        <w:rPr>
          <w:rFonts w:ascii="宋体" w:hAnsi="宋体" w:eastAsia="宋体"/>
          <w:sz w:val="24"/>
        </w:rPr>
      </w:pPr>
      <w:r>
        <w:rPr>
          <w:rFonts w:ascii="宋体" w:hAnsi="宋体" w:eastAsia="宋体"/>
          <w:sz w:val="24"/>
        </w:rPr>
        <w:t>3.</w:t>
      </w:r>
      <w:r>
        <w:rPr>
          <w:rFonts w:hint="eastAsia" w:ascii="宋体" w:hAnsi="宋体" w:eastAsia="宋体"/>
          <w:sz w:val="24"/>
        </w:rPr>
        <w:t>保障内容：特殊门诊、门诊手术、住院前后门急诊、护理费、重症监护室、救护车、住院诊疗、住院检查检验费、床位费、住院膳食费、医保目录外的自费药、进口药、靶向药。</w:t>
      </w:r>
    </w:p>
    <w:p>
      <w:pPr>
        <w:spacing w:line="360" w:lineRule="auto"/>
        <w:rPr>
          <w:rFonts w:ascii="宋体" w:hAnsi="宋体" w:eastAsia="宋体"/>
          <w:sz w:val="24"/>
        </w:rPr>
      </w:pPr>
      <w:r>
        <w:rPr>
          <w:rFonts w:ascii="宋体" w:hAnsi="宋体" w:eastAsia="宋体"/>
          <w:sz w:val="24"/>
        </w:rPr>
        <w:t>4.</w:t>
      </w:r>
      <w:r>
        <w:rPr>
          <w:rFonts w:hint="eastAsia" w:ascii="宋体" w:hAnsi="宋体" w:eastAsia="宋体"/>
          <w:sz w:val="24"/>
        </w:rPr>
        <w:t>投保年龄：出生满28天至60周岁，身体健康、能正常生活、工作的自然人均可投保。</w:t>
      </w:r>
    </w:p>
    <w:p>
      <w:pPr>
        <w:spacing w:line="360" w:lineRule="auto"/>
        <w:rPr>
          <w:rFonts w:ascii="宋体" w:hAnsi="宋体" w:eastAsia="宋体"/>
          <w:sz w:val="24"/>
        </w:rPr>
      </w:pPr>
      <w:r>
        <w:rPr>
          <w:rFonts w:ascii="宋体" w:hAnsi="宋体" w:eastAsia="宋体"/>
          <w:sz w:val="24"/>
        </w:rPr>
        <w:t>5.</w:t>
      </w:r>
      <w:r>
        <w:rPr>
          <w:rFonts w:hint="eastAsia" w:ascii="宋体" w:hAnsi="宋体" w:eastAsia="宋体"/>
          <w:sz w:val="24"/>
        </w:rPr>
        <w:t>续保年龄：最高至80周岁（含），理赔过可续保。</w:t>
      </w:r>
    </w:p>
    <w:p>
      <w:pPr>
        <w:spacing w:line="360" w:lineRule="auto"/>
        <w:rPr>
          <w:rFonts w:ascii="宋体" w:hAnsi="宋体" w:eastAsia="宋体"/>
          <w:sz w:val="24"/>
        </w:rPr>
      </w:pPr>
      <w:r>
        <w:rPr>
          <w:rFonts w:hint="eastAsia" w:ascii="宋体" w:hAnsi="宋体" w:eastAsia="宋体"/>
          <w:sz w:val="24"/>
        </w:rPr>
        <w:t>6.等待期：首次购买30日（意外伤害及续保无等待期）。</w:t>
      </w:r>
    </w:p>
    <w:p>
      <w:pPr>
        <w:spacing w:line="360" w:lineRule="auto"/>
        <w:rPr>
          <w:rFonts w:ascii="宋体" w:hAnsi="宋体" w:eastAsia="宋体"/>
          <w:sz w:val="24"/>
        </w:rPr>
      </w:pPr>
      <w:r>
        <w:rPr>
          <w:rFonts w:ascii="宋体" w:hAnsi="宋体" w:eastAsia="宋体"/>
          <w:sz w:val="24"/>
        </w:rPr>
        <w:t>7.</w:t>
      </w:r>
      <w:r>
        <w:rPr>
          <w:rFonts w:hint="eastAsia" w:ascii="宋体" w:hAnsi="宋体" w:eastAsia="宋体"/>
          <w:sz w:val="24"/>
        </w:rPr>
        <w:t>医院范围：境内二级或二级以上公立医院或保险人认可的医疗机构的普通部。</w:t>
      </w:r>
    </w:p>
    <w:p>
      <w:pPr>
        <w:spacing w:line="360" w:lineRule="auto"/>
        <w:rPr>
          <w:rFonts w:ascii="宋体" w:hAnsi="宋体" w:eastAsia="宋体"/>
          <w:sz w:val="24"/>
        </w:rPr>
      </w:pPr>
      <w:r>
        <w:rPr>
          <w:rFonts w:ascii="宋体" w:hAnsi="宋体" w:eastAsia="宋体"/>
          <w:sz w:val="24"/>
        </w:rPr>
        <w:t>8.</w:t>
      </w:r>
      <w:r>
        <w:rPr>
          <w:rFonts w:hint="eastAsia" w:ascii="宋体" w:hAnsi="宋体" w:eastAsia="宋体"/>
          <w:sz w:val="24"/>
        </w:rPr>
        <w:t>保险金额：一般医疗保险责任200万元；恶性肿瘤医疗保险责任额外叠加200万元。</w:t>
      </w:r>
    </w:p>
    <w:p>
      <w:pPr>
        <w:spacing w:line="360" w:lineRule="auto"/>
        <w:rPr>
          <w:rFonts w:ascii="宋体" w:hAnsi="宋体" w:eastAsia="宋体"/>
          <w:sz w:val="24"/>
        </w:rPr>
      </w:pPr>
      <w:r>
        <w:rPr>
          <w:rFonts w:ascii="宋体" w:hAnsi="宋体" w:eastAsia="宋体"/>
          <w:sz w:val="24"/>
        </w:rPr>
        <w:t>9.</w:t>
      </w:r>
      <w:r>
        <w:rPr>
          <w:rFonts w:hint="eastAsia" w:ascii="宋体" w:hAnsi="宋体" w:eastAsia="宋体"/>
          <w:sz w:val="24"/>
        </w:rPr>
        <w:t>年度免赔额：1万元，确诊恶性肿瘤后发生的所有医疗费用无免赔额。</w:t>
      </w:r>
    </w:p>
    <w:p>
      <w:pPr>
        <w:spacing w:line="360" w:lineRule="auto"/>
        <w:rPr>
          <w:rFonts w:ascii="宋体" w:hAnsi="宋体" w:eastAsia="宋体"/>
          <w:sz w:val="24"/>
        </w:rPr>
      </w:pPr>
      <w:r>
        <w:rPr>
          <w:rFonts w:ascii="宋体" w:hAnsi="宋体" w:eastAsia="宋体"/>
          <w:sz w:val="24"/>
        </w:rPr>
        <w:t>10.</w:t>
      </w:r>
      <w:r>
        <w:rPr>
          <w:rFonts w:hint="eastAsia" w:ascii="宋体" w:hAnsi="宋体" w:eastAsia="宋体"/>
          <w:sz w:val="24"/>
        </w:rPr>
        <w:t>给付比例：给付比例100%，但被保险人若以参加社会保险身份就诊并结算的，赔付比例调整为60%。</w:t>
      </w:r>
    </w:p>
    <w:p>
      <w:pPr>
        <w:spacing w:line="360" w:lineRule="auto"/>
        <w:rPr>
          <w:rFonts w:ascii="宋体" w:hAnsi="宋体" w:eastAsia="宋体"/>
          <w:sz w:val="24"/>
        </w:rPr>
      </w:pPr>
      <w:r>
        <w:rPr>
          <w:rFonts w:ascii="宋体" w:hAnsi="宋体" w:eastAsia="宋体"/>
          <w:sz w:val="24"/>
        </w:rPr>
        <w:t>11.</w:t>
      </w:r>
      <w:r>
        <w:rPr>
          <w:rFonts w:hint="eastAsia" w:ascii="宋体" w:hAnsi="宋体" w:eastAsia="宋体"/>
          <w:sz w:val="24"/>
        </w:rPr>
        <w:t>人人安康为社会销售保险，浙大员工购买享95折优惠。</w:t>
      </w:r>
    </w:p>
    <w:p>
      <w:pPr>
        <w:spacing w:line="360" w:lineRule="auto"/>
        <w:rPr>
          <w:rFonts w:ascii="宋体" w:hAnsi="宋体" w:eastAsia="宋体"/>
          <w:sz w:val="24"/>
        </w:rPr>
      </w:pPr>
      <w:r>
        <w:rPr>
          <w:rFonts w:hint="eastAsia" w:ascii="宋体" w:hAnsi="宋体" w:eastAsia="宋体"/>
          <w:sz w:val="24"/>
        </w:rPr>
        <w:t>购买人人安康需通过健康问卷。</w:t>
      </w:r>
    </w:p>
    <w:p>
      <w:pPr>
        <w:spacing w:line="360" w:lineRule="auto"/>
        <w:rPr>
          <w:rFonts w:ascii="宋体" w:hAnsi="宋体" w:eastAsia="宋体"/>
          <w:sz w:val="24"/>
        </w:rPr>
      </w:pPr>
      <w:r>
        <w:rPr>
          <w:rFonts w:hint="eastAsia" w:ascii="宋体" w:hAnsi="宋体" w:eastAsia="宋体"/>
          <w:sz w:val="24"/>
        </w:rPr>
        <w:t>12.</w:t>
      </w:r>
      <w:r>
        <w:rPr>
          <w:rFonts w:hint="eastAsia"/>
        </w:rPr>
        <w:t xml:space="preserve"> </w:t>
      </w:r>
      <w:r>
        <w:rPr>
          <w:rFonts w:hint="eastAsia" w:ascii="宋体" w:hAnsi="宋体" w:eastAsia="宋体"/>
          <w:sz w:val="24"/>
        </w:rPr>
        <w:t>每人限购一份。</w:t>
      </w:r>
    </w:p>
    <w:p>
      <w:pPr>
        <w:spacing w:line="360" w:lineRule="auto"/>
        <w:rPr>
          <w:rFonts w:ascii="宋体" w:hAnsi="宋体" w:eastAsia="宋体"/>
          <w:b/>
          <w:sz w:val="24"/>
          <w:highlight w:val="yellow"/>
        </w:rPr>
      </w:pPr>
      <w:r>
        <w:rPr>
          <w:rFonts w:ascii="宋体" w:hAnsi="宋体" w:eastAsia="宋体"/>
          <w:b/>
          <w:sz w:val="24"/>
          <w:highlight w:val="yellow"/>
        </w:rPr>
        <w:t>（</w:t>
      </w:r>
      <w:r>
        <w:rPr>
          <w:rFonts w:hint="eastAsia" w:ascii="宋体" w:hAnsi="宋体" w:eastAsia="宋体"/>
          <w:b/>
          <w:sz w:val="24"/>
          <w:highlight w:val="yellow"/>
        </w:rPr>
        <w:t>四）家庭财产保险（臻爱365）：</w:t>
      </w:r>
    </w:p>
    <w:p>
      <w:pPr>
        <w:spacing w:line="360" w:lineRule="auto"/>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801235" cy="6459855"/>
            <wp:effectExtent l="0" t="0" r="18415" b="17145"/>
            <wp:docPr id="2"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_副本"/>
                    <pic:cNvPicPr>
                      <a:picLocks noChangeAspect="1"/>
                    </pic:cNvPicPr>
                  </pic:nvPicPr>
                  <pic:blipFill>
                    <a:blip r:embed="rId5"/>
                    <a:stretch>
                      <a:fillRect/>
                    </a:stretch>
                  </pic:blipFill>
                  <pic:spPr>
                    <a:xfrm>
                      <a:off x="0" y="0"/>
                      <a:ext cx="4801235" cy="6459855"/>
                    </a:xfrm>
                    <a:prstGeom prst="rect">
                      <a:avLst/>
                    </a:prstGeom>
                  </pic:spPr>
                </pic:pic>
              </a:graphicData>
            </a:graphic>
          </wp:inline>
        </w:drawing>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819A9"/>
    <w:multiLevelType w:val="multilevel"/>
    <w:tmpl w:val="2E5819A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6B9F0025"/>
    <w:multiLevelType w:val="multilevel"/>
    <w:tmpl w:val="6B9F0025"/>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C7406E"/>
    <w:rsid w:val="5C3E5230"/>
    <w:rsid w:val="79FA6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pPr>
      <w:spacing w:beforeAutospacing="1" w:afterAutospacing="1"/>
      <w:jc w:val="left"/>
    </w:pPr>
    <w:rPr>
      <w:rFonts w:cs="Times New Roman"/>
      <w:kern w:val="0"/>
      <w:sz w:val="24"/>
    </w:r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dell</cp:lastModifiedBy>
  <dcterms:modified xsi:type="dcterms:W3CDTF">2021-05-24T05:00:09Z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